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9654758"/>
    <w:p w14:paraId="40891563" w14:textId="0C6E8170" w:rsidR="000B0453" w:rsidRPr="00593A5A" w:rsidRDefault="00593A5A">
      <w:pPr>
        <w:spacing w:after="100" w:afterAutospacing="1"/>
        <w:rPr>
          <w:rFonts w:ascii="Futura Std Book" w:hAnsi="Futura Std Book" w:cs="Futura Std Medium"/>
          <w:color w:val="EB8215"/>
          <w:sz w:val="23"/>
          <w:lang w:val="en-GB"/>
        </w:rPr>
      </w:pPr>
      <w:r>
        <w:rPr>
          <w:rFonts w:asciiTheme="majorHAnsi" w:hAnsiTheme="majorHAnsi" w:cstheme="majorHAnsi"/>
          <w:noProof/>
          <w:color w:val="E7E6E6" w:themeColor="background2"/>
          <w:sz w:val="40"/>
        </w:rPr>
        <w:drawing>
          <wp:anchor distT="0" distB="0" distL="114300" distR="114300" simplePos="0" relativeHeight="251659264" behindDoc="0" locked="0" layoutInCell="1" allowOverlap="1" wp14:anchorId="017454BC" wp14:editId="66E35A68">
            <wp:simplePos x="0" y="0"/>
            <wp:positionH relativeFrom="column">
              <wp:posOffset>16510</wp:posOffset>
            </wp:positionH>
            <wp:positionV relativeFrom="paragraph">
              <wp:posOffset>651510</wp:posOffset>
            </wp:positionV>
            <wp:extent cx="6210935" cy="2540"/>
            <wp:effectExtent l="0" t="0" r="37465" b="48260"/>
            <wp:wrapNone/>
            <wp:docPr id="7" name="Rechte verbindingslijn 7"/>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w:r>
        <w:rPr>
          <w:rFonts w:asciiTheme="majorHAnsi" w:hAnsiTheme="majorHAnsi" w:cstheme="majorHAnsi"/>
          <w:noProof/>
          <w:color w:val="E7E6E6" w:themeColor="background2"/>
          <w:sz w:val="40"/>
        </w:rPr>
        <w:drawing>
          <wp:anchor distT="0" distB="0" distL="114300" distR="114300" simplePos="0" relativeHeight="251661312" behindDoc="0" locked="0" layoutInCell="1" allowOverlap="1" wp14:anchorId="66064078" wp14:editId="18E41CB4">
            <wp:simplePos x="0" y="0"/>
            <wp:positionH relativeFrom="column">
              <wp:posOffset>16510</wp:posOffset>
            </wp:positionH>
            <wp:positionV relativeFrom="paragraph">
              <wp:posOffset>651510</wp:posOffset>
            </wp:positionV>
            <wp:extent cx="6210935" cy="2540"/>
            <wp:effectExtent l="0" t="0" r="37465" b="48260"/>
            <wp:wrapNone/>
            <wp:docPr id="1" name="Rechte verbindingslijn 1"/>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w:r w:rsidRPr="00593A5A">
        <w:rPr>
          <w:rFonts w:asciiTheme="majorHAnsi" w:hAnsiTheme="majorHAnsi" w:cstheme="majorHAnsi"/>
          <w:color w:val="3B3838" w:themeColor="background2" w:themeShade="40"/>
          <w:sz w:val="40"/>
          <w:lang w:val="en-GB"/>
        </w:rPr>
        <w:t>MAGNUS</w:t>
      </w:r>
      <w:r w:rsidRPr="00593A5A">
        <w:rPr>
          <w:rFonts w:ascii="Futura Std Book" w:hAnsi="Futura Std Book" w:cs="Futura Std Medium"/>
          <w:color w:val="3B3838" w:themeColor="background2" w:themeShade="40"/>
          <w:sz w:val="40"/>
          <w:lang w:val="en-GB"/>
        </w:rPr>
        <w:t xml:space="preserve"> </w:t>
      </w:r>
      <w:r>
        <w:rPr>
          <w:rFonts w:ascii="Futura Std Book" w:hAnsi="Futura Std Book" w:cs="Futura Std Medium"/>
          <w:color w:val="3B3838" w:themeColor="background2" w:themeShade="40"/>
          <w:sz w:val="40"/>
          <w:lang w:val="en-GB"/>
        </w:rPr>
        <w:br/>
      </w:r>
      <w:r w:rsidRPr="00593A5A">
        <w:rPr>
          <w:rFonts w:cstheme="minorHAnsi"/>
          <w:b/>
          <w:color w:val="FF5000"/>
          <w:sz w:val="28"/>
          <w:lang w:val="en-GB"/>
        </w:rPr>
        <w:t>Motorised hinge for pedestrian swing gates</w:t>
      </w:r>
    </w:p>
    <w:p w14:paraId="753A48F3" w14:textId="6AFF647D" w:rsidR="000B0453" w:rsidRDefault="00593A5A">
      <w:pPr>
        <w:pStyle w:val="Bullets"/>
        <w:numPr>
          <w:ilvl w:val="0"/>
          <w:numId w:val="0"/>
        </w:numPr>
        <w:rPr>
          <w:rFonts w:ascii="Calibri" w:hAnsi="Calibri" w:cs="Calibri"/>
        </w:rPr>
      </w:pPr>
      <w:r>
        <w:rPr>
          <w:rFonts w:ascii="Calibri" w:hAnsi="Calibri" w:cs="Calibri"/>
          <w:b/>
        </w:rPr>
        <w:t>Specification text</w:t>
      </w:r>
      <w:r>
        <w:rPr>
          <w:rFonts w:ascii="Calibri" w:hAnsi="Calibri" w:cs="Calibri"/>
        </w:rPr>
        <w:t xml:space="preserve">: The gate will be automated with a motorised MAGNUS hinge from the Locinox brand or a technically equivalent product. The MAGNUS combines a hinge and a powerful gate closer in one discreet solution. Specially developed for outdoor use, it is corrosion-resistant according to the 1000-hour salt spray test under ISO 9227. The frictionless operation of the brushless motor allows intensive use with over 500,000 opening and closing cycles. This equates to more than 30 years of daily use in both manual and fully </w:t>
      </w:r>
      <w:r>
        <w:rPr>
          <w:rFonts w:ascii="Calibri" w:hAnsi="Calibri" w:cs="Calibri"/>
        </w:rPr>
        <w:t>automatic modes. Thanks to its robust housing and IP56 rating, the MAGNUS is highly resistant to weather and dust. Installation is easy thanks to the plug and play design and pre-assembled Quick-Fix fasteners.</w:t>
      </w:r>
    </w:p>
    <w:p w14:paraId="4BB94C29" w14:textId="3936D567" w:rsidR="000B0453" w:rsidRDefault="00593A5A">
      <w:pPr>
        <w:pStyle w:val="Pa1"/>
        <w:spacing w:before="240" w:after="120"/>
        <w:rPr>
          <w:rFonts w:asciiTheme="majorHAnsi" w:hAnsiTheme="majorHAnsi" w:cs="Calibri Light (Koppen)"/>
          <w:b/>
          <w:color w:val="FF5000"/>
          <w:sz w:val="20"/>
        </w:rPr>
      </w:pPr>
      <w:r>
        <w:rPr>
          <w:rFonts w:asciiTheme="majorHAnsi" w:hAnsiTheme="majorHAnsi" w:cs="Calibri Light (Koppen)"/>
          <w:b/>
          <w:color w:val="FF5000"/>
          <w:sz w:val="20"/>
        </w:rPr>
        <w:t>FEATURES</w:t>
      </w:r>
    </w:p>
    <w:p w14:paraId="79BF6ED6" w14:textId="3552AB2D" w:rsidR="000B0453" w:rsidRDefault="00593A5A">
      <w:pPr>
        <w:pStyle w:val="Bullets"/>
        <w:rPr>
          <w:rFonts w:ascii="Calibri" w:hAnsi="Calibri" w:cs="Calibri"/>
        </w:rPr>
      </w:pPr>
      <w:r>
        <w:rPr>
          <w:rFonts w:ascii="Calibri" w:hAnsi="Calibri" w:cs="Calibri"/>
        </w:rPr>
        <w:t xml:space="preserve">Electric gate close </w:t>
      </w:r>
    </w:p>
    <w:p w14:paraId="0A04883B" w14:textId="11779498" w:rsidR="000B0453" w:rsidRDefault="00593A5A">
      <w:pPr>
        <w:pStyle w:val="Bullets"/>
        <w:rPr>
          <w:rFonts w:ascii="Calibri" w:hAnsi="Calibri" w:cs="Calibri"/>
        </w:rPr>
      </w:pPr>
      <w:r>
        <w:rPr>
          <w:rFonts w:ascii="Calibri" w:hAnsi="Calibri" w:cs="Calibri"/>
        </w:rPr>
        <w:t xml:space="preserve">With reversible brushless motor </w:t>
      </w:r>
    </w:p>
    <w:p w14:paraId="3388C7DA" w14:textId="63009333" w:rsidR="000B0453" w:rsidRDefault="00593A5A">
      <w:pPr>
        <w:pStyle w:val="Bullets"/>
        <w:rPr>
          <w:rFonts w:ascii="Calibri" w:hAnsi="Calibri" w:cs="Calibri"/>
        </w:rPr>
      </w:pPr>
      <w:r>
        <w:rPr>
          <w:rFonts w:ascii="Calibri" w:hAnsi="Calibri" w:cs="Calibri"/>
        </w:rPr>
        <w:t>Can always be operated manually</w:t>
      </w:r>
    </w:p>
    <w:p w14:paraId="188FFAE3" w14:textId="0AA160A2" w:rsidR="000B0453" w:rsidRDefault="00593A5A">
      <w:pPr>
        <w:pStyle w:val="Bullets"/>
        <w:rPr>
          <w:rFonts w:ascii="Calibri" w:hAnsi="Calibri" w:cs="Calibri"/>
        </w:rPr>
      </w:pPr>
      <w:r>
        <w:rPr>
          <w:rFonts w:ascii="Calibri" w:hAnsi="Calibri" w:cs="Calibri"/>
        </w:rPr>
        <w:t>Suitable for gates up to 200 kg and up to 1,500 mm wide.</w:t>
      </w:r>
    </w:p>
    <w:p w14:paraId="6698A5BD" w14:textId="1082771D" w:rsidR="000B0453" w:rsidRDefault="00593A5A">
      <w:pPr>
        <w:pStyle w:val="Bullets"/>
        <w:rPr>
          <w:rFonts w:ascii="Calibri" w:hAnsi="Calibri" w:cs="Calibri"/>
        </w:rPr>
      </w:pPr>
      <w:r>
        <w:rPr>
          <w:rFonts w:ascii="Calibri" w:hAnsi="Calibri" w:cs="Calibri"/>
        </w:rPr>
        <w:t>Maximum engine power of 100 N·m.</w:t>
      </w:r>
    </w:p>
    <w:p w14:paraId="3CE47B47" w14:textId="6E186A8C" w:rsidR="000B0453" w:rsidRDefault="00593A5A">
      <w:pPr>
        <w:pStyle w:val="Bullets"/>
        <w:rPr>
          <w:rFonts w:ascii="Calibri" w:hAnsi="Calibri" w:cs="Calibri"/>
        </w:rPr>
      </w:pPr>
      <w:r>
        <w:rPr>
          <w:rFonts w:ascii="Calibri" w:hAnsi="Calibri" w:cs="Calibri"/>
        </w:rPr>
        <w:t>For gates with an opening angle up to 180°</w:t>
      </w:r>
    </w:p>
    <w:p w14:paraId="1E2459EB" w14:textId="424877A8" w:rsidR="000B0453" w:rsidRDefault="00593A5A">
      <w:pPr>
        <w:pStyle w:val="Bullets"/>
        <w:rPr>
          <w:rFonts w:ascii="Calibri" w:hAnsi="Calibri" w:cs="Calibri"/>
        </w:rPr>
      </w:pPr>
      <w:r>
        <w:rPr>
          <w:rFonts w:ascii="Calibri" w:hAnsi="Calibri" w:cs="Calibri"/>
        </w:rPr>
        <w:t xml:space="preserve">Resistance to opening is maximum 15 N·m </w:t>
      </w:r>
    </w:p>
    <w:p w14:paraId="400C0792" w14:textId="1C40C2B1" w:rsidR="000B0453" w:rsidRDefault="00593A5A">
      <w:pPr>
        <w:pStyle w:val="Bullets"/>
        <w:rPr>
          <w:rFonts w:ascii="Calibri" w:hAnsi="Calibri" w:cs="Calibri"/>
        </w:rPr>
      </w:pPr>
      <w:r>
        <w:rPr>
          <w:rFonts w:ascii="Calibri" w:hAnsi="Calibri" w:cs="Calibri"/>
        </w:rPr>
        <w:t>Adjustable closing speed</w:t>
      </w:r>
    </w:p>
    <w:p w14:paraId="0158222C" w14:textId="7B79CD19" w:rsidR="000B0453" w:rsidRDefault="00593A5A">
      <w:pPr>
        <w:pStyle w:val="Bullets"/>
        <w:rPr>
          <w:rFonts w:ascii="Calibri" w:hAnsi="Calibri" w:cs="Calibri"/>
        </w:rPr>
      </w:pPr>
      <w:r>
        <w:rPr>
          <w:rFonts w:ascii="Calibri" w:hAnsi="Calibri" w:cs="Calibri"/>
        </w:rPr>
        <w:t>Adjustable engine power</w:t>
      </w:r>
    </w:p>
    <w:p w14:paraId="574C701B" w14:textId="150C3C72" w:rsidR="000B0453" w:rsidRDefault="00593A5A">
      <w:pPr>
        <w:pStyle w:val="Bullets"/>
        <w:rPr>
          <w:rFonts w:ascii="Calibri" w:hAnsi="Calibri" w:cs="Calibri"/>
        </w:rPr>
      </w:pPr>
      <w:r>
        <w:rPr>
          <w:rFonts w:ascii="Calibri" w:hAnsi="Calibri" w:cs="Calibri"/>
        </w:rPr>
        <w:t xml:space="preserve">Features motorised damping </w:t>
      </w:r>
    </w:p>
    <w:p w14:paraId="4A5E8368" w14:textId="68194D6F" w:rsidR="000B0453" w:rsidRDefault="00593A5A">
      <w:pPr>
        <w:pStyle w:val="Bullets"/>
        <w:rPr>
          <w:rFonts w:ascii="Calibri" w:hAnsi="Calibri" w:cs="Calibri"/>
        </w:rPr>
      </w:pPr>
      <w:r>
        <w:rPr>
          <w:rFonts w:ascii="Calibri" w:hAnsi="Calibri" w:cs="Calibri"/>
        </w:rPr>
        <w:t>Features a slow start/stop mode</w:t>
      </w:r>
    </w:p>
    <w:p w14:paraId="1BC0C5A1" w14:textId="7A7E1C29" w:rsidR="000B0453" w:rsidRDefault="00593A5A">
      <w:pPr>
        <w:pStyle w:val="Bullets"/>
        <w:rPr>
          <w:rFonts w:ascii="Calibri" w:hAnsi="Calibri" w:cs="Calibri"/>
        </w:rPr>
      </w:pPr>
      <w:r>
        <w:rPr>
          <w:rFonts w:ascii="Calibri" w:hAnsi="Calibri" w:cs="Calibri"/>
        </w:rPr>
        <w:t>Possible to open the gate with a light push (push-and-go)</w:t>
      </w:r>
    </w:p>
    <w:p w14:paraId="610FA87B" w14:textId="77777777" w:rsidR="000B0453" w:rsidRDefault="00593A5A">
      <w:pPr>
        <w:pStyle w:val="Bullets"/>
        <w:rPr>
          <w:rFonts w:ascii="Calibri" w:hAnsi="Calibri" w:cs="Calibri"/>
        </w:rPr>
      </w:pPr>
      <w:r>
        <w:rPr>
          <w:rFonts w:ascii="Calibri" w:hAnsi="Calibri" w:cs="Calibri"/>
        </w:rPr>
        <w:t>It is possible to configure the gate closer as a gate opener in automatic mode.</w:t>
      </w:r>
    </w:p>
    <w:p w14:paraId="20C1551D" w14:textId="77777777" w:rsidR="000B0453" w:rsidRDefault="00593A5A">
      <w:pPr>
        <w:pStyle w:val="Bullets"/>
        <w:rPr>
          <w:rFonts w:ascii="Calibri" w:hAnsi="Calibri" w:cs="Calibri"/>
        </w:rPr>
      </w:pPr>
      <w:r>
        <w:rPr>
          <w:rFonts w:ascii="Calibri" w:hAnsi="Calibri" w:cs="Calibri"/>
        </w:rPr>
        <w:t>Features an integrated obstacle detection</w:t>
      </w:r>
    </w:p>
    <w:p w14:paraId="2A759041" w14:textId="26C4F4D3" w:rsidR="000B0453" w:rsidRDefault="00593A5A">
      <w:pPr>
        <w:pStyle w:val="Bullets"/>
        <w:rPr>
          <w:rFonts w:ascii="Calibri" w:hAnsi="Calibri" w:cs="Calibri"/>
        </w:rPr>
      </w:pPr>
      <w:r>
        <w:rPr>
          <w:rFonts w:ascii="Calibri" w:hAnsi="Calibri" w:cs="Calibri"/>
        </w:rPr>
        <w:t>Designed and produced in Europe or the US</w:t>
      </w:r>
    </w:p>
    <w:p w14:paraId="3121C216" w14:textId="7F6596D2" w:rsidR="000B0453" w:rsidRDefault="00593A5A">
      <w:pPr>
        <w:pStyle w:val="Bullets"/>
        <w:rPr>
          <w:rFonts w:ascii="Calibri" w:hAnsi="Calibri" w:cs="Calibri"/>
        </w:rPr>
      </w:pPr>
      <w:r>
        <w:rPr>
          <w:rFonts w:ascii="Calibri" w:hAnsi="Calibri" w:cs="Calibri"/>
        </w:rPr>
        <w:t xml:space="preserve">Compliant with American </w:t>
      </w:r>
      <w:r>
        <w:rPr>
          <w:rFonts w:ascii="Calibri" w:hAnsi="Calibri" w:cs="Calibri"/>
          <w:i/>
        </w:rPr>
        <w:t>Disabilities Act</w:t>
      </w:r>
      <w:r>
        <w:rPr>
          <w:rFonts w:ascii="Calibri" w:hAnsi="Calibri" w:cs="Calibri"/>
        </w:rPr>
        <w:t xml:space="preserve"> (ADA) guidelines</w:t>
      </w:r>
    </w:p>
    <w:p w14:paraId="7B2BDC49" w14:textId="7757EC4C" w:rsidR="000B0453" w:rsidRDefault="00593A5A">
      <w:pPr>
        <w:pStyle w:val="Bullets"/>
        <w:rPr>
          <w:rFonts w:ascii="Calibri" w:hAnsi="Calibri" w:cs="Calibri"/>
        </w:rPr>
      </w:pPr>
      <w:r>
        <w:rPr>
          <w:rFonts w:ascii="Calibri" w:hAnsi="Calibri" w:cs="Calibri"/>
        </w:rPr>
        <w:t xml:space="preserve">In accordance with the guidelines of the </w:t>
      </w:r>
      <w:r>
        <w:rPr>
          <w:rFonts w:ascii="Calibri" w:hAnsi="Calibri" w:cs="Calibri"/>
          <w:i/>
          <w:iCs/>
        </w:rPr>
        <w:t>Royal Society for the Prevention of Accidents</w:t>
      </w:r>
      <w:r>
        <w:rPr>
          <w:rFonts w:ascii="Calibri" w:hAnsi="Calibri" w:cs="Calibri"/>
        </w:rPr>
        <w:t xml:space="preserve"> (ROSPA).</w:t>
      </w:r>
    </w:p>
    <w:p w14:paraId="1564BFFE" w14:textId="3D387789" w:rsidR="000B0453" w:rsidRDefault="00593A5A">
      <w:pPr>
        <w:pStyle w:val="Bullets"/>
        <w:rPr>
          <w:rFonts w:ascii="Calibri" w:hAnsi="Calibri" w:cs="Calibri"/>
        </w:rPr>
      </w:pPr>
      <w:r>
        <w:rPr>
          <w:rFonts w:ascii="Calibri" w:hAnsi="Calibri" w:cs="Calibri"/>
        </w:rPr>
        <w:t>Compliant with the EN12453 and EN16005 standard for the safe use of automatic door systems.</w:t>
      </w:r>
    </w:p>
    <w:p w14:paraId="17B379C9" w14:textId="08F5B58E" w:rsidR="000B0453" w:rsidRDefault="00593A5A">
      <w:pPr>
        <w:pStyle w:val="Bullets"/>
        <w:rPr>
          <w:rFonts w:ascii="Calibri" w:hAnsi="Calibri" w:cs="Calibri"/>
          <w:color w:val="auto"/>
        </w:rPr>
      </w:pPr>
      <w:r>
        <w:rPr>
          <w:rFonts w:ascii="Calibri" w:hAnsi="Calibri" w:cs="Calibri"/>
          <w:color w:val="auto"/>
        </w:rPr>
        <w:t xml:space="preserve">Must be combined with an electric, electromagnetic, or mechanical lock. </w:t>
      </w:r>
    </w:p>
    <w:p w14:paraId="248C6131" w14:textId="7A87C7BA" w:rsidR="000B0453" w:rsidRDefault="00593A5A">
      <w:pPr>
        <w:pStyle w:val="Bullets"/>
        <w:rPr>
          <w:rFonts w:ascii="Calibri" w:hAnsi="Calibri" w:cs="Calibri"/>
          <w:color w:val="auto"/>
        </w:rPr>
      </w:pPr>
      <w:r>
        <w:rPr>
          <w:rFonts w:ascii="Calibri" w:hAnsi="Calibri" w:cs="Calibri"/>
          <w:color w:val="auto"/>
        </w:rPr>
        <w:t xml:space="preserve">for fully automatic opening, an electromagnetic lock, a mechanical lock with electric strike, or a motorised bolt is required. </w:t>
      </w:r>
    </w:p>
    <w:p w14:paraId="30B13BB5" w14:textId="1087CF56" w:rsidR="000B0453" w:rsidRDefault="00593A5A">
      <w:pPr>
        <w:pStyle w:val="Bullets"/>
        <w:rPr>
          <w:rFonts w:ascii="Calibri" w:hAnsi="Calibri" w:cs="Calibri"/>
        </w:rPr>
      </w:pPr>
      <w:r>
        <w:rPr>
          <w:rFonts w:ascii="Calibri" w:hAnsi="Calibri" w:cs="Calibri"/>
        </w:rPr>
        <w:t>Available in either black or silver.</w:t>
      </w:r>
    </w:p>
    <w:p w14:paraId="1A4C57D0" w14:textId="7CA42E49" w:rsidR="000B0453" w:rsidRDefault="00593A5A">
      <w:pPr>
        <w:pStyle w:val="Pa1"/>
        <w:spacing w:before="240" w:after="120"/>
        <w:rPr>
          <w:rFonts w:asciiTheme="majorHAnsi" w:hAnsiTheme="majorHAnsi" w:cs="Calibri Light (Koppen)"/>
          <w:b/>
          <w:color w:val="FF5000"/>
          <w:sz w:val="20"/>
        </w:rPr>
      </w:pPr>
      <w:r>
        <w:rPr>
          <w:rFonts w:asciiTheme="majorHAnsi" w:hAnsiTheme="majorHAnsi" w:cs="Calibri Light (Koppen)"/>
          <w:b/>
          <w:color w:val="FF5000"/>
          <w:sz w:val="20"/>
        </w:rPr>
        <w:t>PERFORMANCE</w:t>
      </w:r>
    </w:p>
    <w:p w14:paraId="36698EDE" w14:textId="2155F198" w:rsidR="000B0453" w:rsidRDefault="00593A5A">
      <w:pPr>
        <w:pStyle w:val="Bullets"/>
        <w:rPr>
          <w:rFonts w:ascii="Calibri" w:hAnsi="Calibri" w:cs="Calibri"/>
        </w:rPr>
      </w:pPr>
      <w:r>
        <w:rPr>
          <w:rFonts w:ascii="Calibri" w:hAnsi="Calibri" w:cs="Calibri"/>
        </w:rPr>
        <w:t>Developed and manufactured specifically for outdoor use.</w:t>
      </w:r>
    </w:p>
    <w:p w14:paraId="208E9136" w14:textId="77777777" w:rsidR="000B0453" w:rsidRDefault="00593A5A">
      <w:pPr>
        <w:pStyle w:val="Bullets"/>
        <w:rPr>
          <w:rFonts w:ascii="Calibri" w:hAnsi="Calibri" w:cs="Calibri"/>
        </w:rPr>
      </w:pPr>
      <w:r>
        <w:rPr>
          <w:rFonts w:ascii="Calibri" w:hAnsi="Calibri" w:cs="Calibri"/>
        </w:rPr>
        <w:t>Weatherproof and dustproof</w:t>
      </w:r>
    </w:p>
    <w:p w14:paraId="329E47B3" w14:textId="0CE14BF4" w:rsidR="000B0453" w:rsidRDefault="00593A5A">
      <w:pPr>
        <w:pStyle w:val="Bullets"/>
        <w:rPr>
          <w:rFonts w:ascii="Calibri" w:hAnsi="Calibri" w:cs="Calibri"/>
        </w:rPr>
      </w:pPr>
      <w:r>
        <w:rPr>
          <w:rFonts w:ascii="Calibri" w:hAnsi="Calibri" w:cs="Calibri"/>
        </w:rPr>
        <w:t xml:space="preserve">IP56 rated </w:t>
      </w:r>
    </w:p>
    <w:p w14:paraId="14E821AA" w14:textId="19B51F8E" w:rsidR="000B0453" w:rsidRDefault="00593A5A">
      <w:pPr>
        <w:pStyle w:val="Bullets"/>
        <w:rPr>
          <w:rFonts w:ascii="Calibri" w:hAnsi="Calibri" w:cs="Calibri"/>
        </w:rPr>
      </w:pPr>
      <w:r>
        <w:rPr>
          <w:rFonts w:ascii="Calibri" w:hAnsi="Calibri" w:cs="Calibri"/>
        </w:rPr>
        <w:t xml:space="preserve">Maintenance-free (no need to lubricate or add oil) </w:t>
      </w:r>
      <w:r>
        <w:rPr>
          <w:rFonts w:ascii="Calibri" w:hAnsi="Calibri" w:cs="Calibri"/>
          <w:i/>
          <w:iCs/>
        </w:rPr>
        <w:t>Always check for any specific safety requirements imposed by local authorities.</w:t>
      </w:r>
    </w:p>
    <w:p w14:paraId="7DE3D938" w14:textId="040A8D99" w:rsidR="000B0453" w:rsidRDefault="00593A5A">
      <w:pPr>
        <w:pStyle w:val="Bullets"/>
        <w:rPr>
          <w:rFonts w:ascii="Calibri" w:hAnsi="Calibri" w:cs="Calibri"/>
        </w:rPr>
      </w:pPr>
      <w:r>
        <w:rPr>
          <w:rFonts w:ascii="Calibri" w:hAnsi="Calibri" w:cs="Calibri"/>
        </w:rPr>
        <w:t>Two year manufacturer's warranty.</w:t>
      </w:r>
    </w:p>
    <w:p w14:paraId="581BE1AC" w14:textId="4AC95A25" w:rsidR="000B0453" w:rsidRDefault="00593A5A">
      <w:pPr>
        <w:pStyle w:val="Bullets"/>
        <w:rPr>
          <w:rFonts w:ascii="Calibri" w:hAnsi="Calibri" w:cs="Calibri"/>
        </w:rPr>
      </w:pPr>
      <w:r>
        <w:rPr>
          <w:rFonts w:ascii="Calibri" w:hAnsi="Calibri" w:cs="Calibri"/>
        </w:rPr>
        <w:t>Tested on 500,000 movements</w:t>
      </w:r>
    </w:p>
    <w:p w14:paraId="6F171090" w14:textId="77777777" w:rsidR="00593A5A" w:rsidRDefault="00593A5A">
      <w:pPr>
        <w:spacing w:after="0" w:line="240" w:lineRule="auto"/>
        <w:rPr>
          <w:rFonts w:asciiTheme="majorHAnsi" w:hAnsiTheme="majorHAnsi" w:cs="Calibri Light (Koppen)"/>
          <w:b/>
          <w:color w:val="FF5000"/>
          <w:sz w:val="20"/>
          <w:szCs w:val="24"/>
        </w:rPr>
      </w:pPr>
      <w:r>
        <w:rPr>
          <w:rFonts w:asciiTheme="majorHAnsi" w:hAnsiTheme="majorHAnsi" w:cs="Calibri Light (Koppen)"/>
          <w:b/>
          <w:color w:val="FF5000"/>
          <w:sz w:val="20"/>
        </w:rPr>
        <w:br w:type="page"/>
      </w:r>
    </w:p>
    <w:p w14:paraId="29114802" w14:textId="06686C80" w:rsidR="000B0453" w:rsidRDefault="00593A5A">
      <w:pPr>
        <w:pStyle w:val="Pa1"/>
        <w:spacing w:before="240" w:after="120"/>
        <w:rPr>
          <w:rFonts w:asciiTheme="majorHAnsi" w:hAnsiTheme="majorHAnsi" w:cs="Calibri Light (Koppen)"/>
          <w:b/>
          <w:color w:val="FF5000"/>
          <w:sz w:val="20"/>
        </w:rPr>
      </w:pPr>
      <w:r>
        <w:rPr>
          <w:rFonts w:asciiTheme="majorHAnsi" w:hAnsiTheme="majorHAnsi" w:cs="Calibri Light (Koppen)"/>
          <w:b/>
          <w:color w:val="FF5000"/>
          <w:sz w:val="20"/>
        </w:rPr>
        <w:lastRenderedPageBreak/>
        <w:t>INSTALLATION</w:t>
      </w:r>
    </w:p>
    <w:p w14:paraId="5029F935" w14:textId="04802ACA" w:rsidR="000B0453" w:rsidRDefault="00593A5A">
      <w:pPr>
        <w:pStyle w:val="Bullets"/>
        <w:rPr>
          <w:rFonts w:ascii="Calibri" w:hAnsi="Calibri" w:cs="Calibri"/>
        </w:rPr>
      </w:pPr>
      <w:r>
        <w:rPr>
          <w:rFonts w:ascii="Calibri" w:hAnsi="Calibri" w:cs="Calibri"/>
        </w:rPr>
        <w:t>For post profiles from 60 mm and gate profiles from 40 mm with a material thickness of at least 2 mm steel</w:t>
      </w:r>
    </w:p>
    <w:p w14:paraId="677DF302" w14:textId="68E7106A" w:rsidR="000B0453" w:rsidRDefault="00593A5A">
      <w:pPr>
        <w:pStyle w:val="Bullets"/>
        <w:rPr>
          <w:rFonts w:ascii="Calibri" w:hAnsi="Calibri" w:cs="Calibri"/>
        </w:rPr>
      </w:pPr>
      <w:r>
        <w:rPr>
          <w:rFonts w:ascii="Calibri" w:hAnsi="Calibri" w:cs="Calibri"/>
        </w:rPr>
        <w:t>To be mounted in 15 mm drill holes – pre-drilled with a drilling template</w:t>
      </w:r>
    </w:p>
    <w:p w14:paraId="0926ABD1" w14:textId="3B3A03CC" w:rsidR="000B0453" w:rsidRDefault="00593A5A">
      <w:pPr>
        <w:pStyle w:val="Bullets"/>
        <w:rPr>
          <w:rFonts w:ascii="Calibri" w:hAnsi="Calibri" w:cs="Calibri"/>
        </w:rPr>
      </w:pPr>
      <w:r>
        <w:rPr>
          <w:rFonts w:ascii="Calibri" w:hAnsi="Calibri" w:cs="Calibri"/>
        </w:rPr>
        <w:t xml:space="preserve">Suitable for both left and right turning gates </w:t>
      </w:r>
    </w:p>
    <w:p w14:paraId="7FC92B4D" w14:textId="00EDFB11" w:rsidR="000B0453" w:rsidRDefault="00593A5A">
      <w:pPr>
        <w:pStyle w:val="Bullets"/>
        <w:rPr>
          <w:rFonts w:ascii="Calibri" w:hAnsi="Calibri" w:cs="Calibri"/>
        </w:rPr>
      </w:pPr>
      <w:r>
        <w:rPr>
          <w:rFonts w:ascii="Calibri" w:hAnsi="Calibri" w:cs="Calibri"/>
        </w:rPr>
        <w:t>Requires a strike plate or striker to determine the zero position</w:t>
      </w:r>
    </w:p>
    <w:p w14:paraId="2B9A376F" w14:textId="1A9C9768" w:rsidR="000B0453" w:rsidRDefault="00593A5A">
      <w:pPr>
        <w:pStyle w:val="Bullets"/>
        <w:rPr>
          <w:rFonts w:ascii="Calibri" w:hAnsi="Calibri" w:cs="Calibri"/>
        </w:rPr>
      </w:pPr>
      <w:r>
        <w:rPr>
          <w:rFonts w:ascii="Calibri" w:hAnsi="Calibri" w:cs="Calibri"/>
        </w:rPr>
        <w:t>No safety sensors required thanks to the standard low energy mode</w:t>
      </w:r>
    </w:p>
    <w:p w14:paraId="564D743D" w14:textId="17EC09D8" w:rsidR="000B0453" w:rsidRDefault="00593A5A">
      <w:pPr>
        <w:pStyle w:val="Bullets"/>
        <w:rPr>
          <w:rFonts w:ascii="Calibri" w:hAnsi="Calibri" w:cs="Calibri"/>
        </w:rPr>
      </w:pPr>
      <w:r>
        <w:rPr>
          <w:rFonts w:ascii="Calibri" w:hAnsi="Calibri" w:cs="Calibri"/>
        </w:rPr>
        <w:t xml:space="preserve">3D installation film is available in an app </w:t>
      </w:r>
    </w:p>
    <w:p w14:paraId="3DF7739F" w14:textId="1009972F" w:rsidR="000B0453" w:rsidRDefault="00593A5A">
      <w:pPr>
        <w:pStyle w:val="Bullets"/>
        <w:rPr>
          <w:rFonts w:ascii="Calibri" w:hAnsi="Calibri" w:cs="Calibri"/>
        </w:rPr>
      </w:pPr>
      <w:r>
        <w:rPr>
          <w:rFonts w:ascii="Calibri" w:hAnsi="Calibri" w:cs="Calibri"/>
        </w:rPr>
        <w:t>Three configurable inputs for connecting access control and security sensors</w:t>
      </w:r>
    </w:p>
    <w:p w14:paraId="063868CC" w14:textId="70EC80DD" w:rsidR="000B0453" w:rsidRPr="00593A5A" w:rsidRDefault="00593A5A" w:rsidP="00593A5A">
      <w:pPr>
        <w:pStyle w:val="Bullets"/>
        <w:rPr>
          <w:rFonts w:ascii="Calibri" w:hAnsi="Calibri" w:cs="Calibri"/>
        </w:rPr>
      </w:pPr>
      <w:r>
        <w:rPr>
          <w:rFonts w:ascii="Calibri" w:hAnsi="Calibri" w:cs="Calibri"/>
        </w:rPr>
        <w:t>Three configurable outputs for connecting an electric strike, electromagnetic strike plate, warning light, or ambient light and a fixed 24V DC power supply.</w:t>
      </w:r>
    </w:p>
    <w:p w14:paraId="2E0F0774" w14:textId="45667236" w:rsidR="000B0453" w:rsidRDefault="00593A5A">
      <w:pPr>
        <w:pStyle w:val="Pa1"/>
        <w:spacing w:before="240" w:after="120"/>
        <w:rPr>
          <w:rFonts w:asciiTheme="majorHAnsi" w:hAnsiTheme="majorHAnsi" w:cs="Calibri Light (Koppen)"/>
          <w:b/>
          <w:color w:val="FF5000"/>
          <w:sz w:val="20"/>
        </w:rPr>
      </w:pPr>
      <w:r>
        <w:rPr>
          <w:rFonts w:asciiTheme="majorHAnsi" w:hAnsiTheme="majorHAnsi" w:cs="Calibri Light (Koppen)"/>
          <w:b/>
          <w:color w:val="FF5000"/>
          <w:sz w:val="20"/>
        </w:rPr>
        <w:t>C</w:t>
      </w:r>
      <w:r>
        <w:rPr>
          <w:rFonts w:asciiTheme="majorHAnsi" w:hAnsiTheme="majorHAnsi" w:cs="Calibri Light (Koppen)"/>
          <w:b/>
          <w:color w:val="FF5000"/>
          <w:sz w:val="20"/>
        </w:rPr>
        <w:t>ONFIGURATION</w:t>
      </w:r>
    </w:p>
    <w:p w14:paraId="01588A36" w14:textId="34E4F2EA" w:rsidR="000B0453" w:rsidRDefault="00593A5A">
      <w:pPr>
        <w:pStyle w:val="Bullets"/>
        <w:rPr>
          <w:rFonts w:ascii="Calibri" w:hAnsi="Calibri" w:cs="Calibri"/>
        </w:rPr>
      </w:pPr>
      <w:r>
        <w:rPr>
          <w:rFonts w:ascii="Calibri" w:hAnsi="Calibri" w:cs="Calibri"/>
        </w:rPr>
        <w:t>Programming through an app</w:t>
      </w:r>
    </w:p>
    <w:p w14:paraId="03096BB7" w14:textId="6FF2AE5B" w:rsidR="000B0453" w:rsidRDefault="00593A5A">
      <w:pPr>
        <w:pStyle w:val="Bullets"/>
        <w:rPr>
          <w:rFonts w:ascii="Calibri" w:hAnsi="Calibri" w:cs="Calibri"/>
        </w:rPr>
      </w:pPr>
      <w:r>
        <w:rPr>
          <w:rFonts w:ascii="Calibri" w:hAnsi="Calibri" w:cs="Calibri"/>
        </w:rPr>
        <w:t>Step-by-step guide with video instructions available within the app</w:t>
      </w:r>
    </w:p>
    <w:p w14:paraId="64FA858C" w14:textId="7B32535B" w:rsidR="000B0453" w:rsidRDefault="00593A5A">
      <w:pPr>
        <w:pStyle w:val="Bullets"/>
        <w:rPr>
          <w:rFonts w:ascii="Calibri" w:hAnsi="Calibri" w:cs="Calibri"/>
        </w:rPr>
      </w:pPr>
      <w:r>
        <w:rPr>
          <w:rFonts w:ascii="Calibri" w:hAnsi="Calibri" w:cs="Calibri"/>
        </w:rPr>
        <w:t>The app is available for ANDROID and IOS</w:t>
      </w:r>
    </w:p>
    <w:p w14:paraId="51ED780C" w14:textId="6A4F5ABA" w:rsidR="000B0453" w:rsidRDefault="00593A5A">
      <w:pPr>
        <w:pStyle w:val="Pa1"/>
        <w:spacing w:before="240" w:after="120"/>
      </w:pPr>
      <w:r>
        <w:rPr>
          <w:rFonts w:asciiTheme="majorHAnsi" w:hAnsiTheme="majorHAnsi" w:cs="Calibri Light (Koppen)"/>
          <w:b/>
          <w:color w:val="FF5000"/>
          <w:sz w:val="20"/>
        </w:rPr>
        <w:t>MATERIAL</w:t>
      </w:r>
    </w:p>
    <w:p w14:paraId="48BA98CF" w14:textId="150CCD46" w:rsidR="000B0453" w:rsidRDefault="00593A5A">
      <w:pPr>
        <w:pStyle w:val="Bullets"/>
        <w:rPr>
          <w:rFonts w:ascii="Calibri" w:hAnsi="Calibri" w:cs="Calibri"/>
        </w:rPr>
      </w:pPr>
      <w:r>
        <w:rPr>
          <w:rFonts w:ascii="Calibri" w:hAnsi="Calibri" w:cs="Calibri"/>
        </w:rPr>
        <w:t xml:space="preserve">Anodised aluminium housing. </w:t>
      </w:r>
    </w:p>
    <w:p w14:paraId="3FAF84E0" w14:textId="450CD0F0" w:rsidR="000B0453" w:rsidRDefault="00593A5A">
      <w:pPr>
        <w:pStyle w:val="Bullets"/>
        <w:rPr>
          <w:rFonts w:ascii="Calibri" w:hAnsi="Calibri" w:cs="Calibri"/>
        </w:rPr>
      </w:pPr>
      <w:r>
        <w:rPr>
          <w:rFonts w:ascii="Calibri" w:hAnsi="Calibri" w:cs="Calibri"/>
        </w:rPr>
        <w:t>Corrosion resistance of 500 hours salt spray test according to ISO9227.</w:t>
      </w:r>
    </w:p>
    <w:p w14:paraId="483B4F4C" w14:textId="1D48E419" w:rsidR="000B0453" w:rsidRDefault="00593A5A">
      <w:pPr>
        <w:pStyle w:val="Bullets"/>
        <w:spacing w:after="0"/>
      </w:pPr>
      <w:r>
        <w:rPr>
          <w:rFonts w:ascii="Calibri" w:hAnsi="Calibri" w:cs="Calibri"/>
        </w:rPr>
        <w:t xml:space="preserve">UV-resistant and colourfast. </w:t>
      </w:r>
      <w:bookmarkEnd w:id="0"/>
    </w:p>
    <w:sectPr w:rsidR="000B0453">
      <w:headerReference w:type="default" r:id="rId7"/>
      <w:footerReference w:type="default" r:id="rId8"/>
      <w:pgSz w:w="11900" w:h="16840"/>
      <w:pgMar w:top="1134"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2858" w14:textId="77777777" w:rsidR="000B0453" w:rsidRDefault="00593A5A">
      <w:pPr>
        <w:spacing w:after="0" w:line="240" w:lineRule="auto"/>
      </w:pPr>
      <w:r>
        <w:separator/>
      </w:r>
    </w:p>
  </w:endnote>
  <w:endnote w:type="continuationSeparator" w:id="0">
    <w:p w14:paraId="01638C0A" w14:textId="77777777" w:rsidR="000B0453" w:rsidRDefault="0059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Std Book">
    <w:altName w:val="Arial"/>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Std Medium">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Light (Koppe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1E29" w14:textId="77777777" w:rsidR="000B0453" w:rsidRDefault="00593A5A">
    <w:pPr>
      <w:pStyle w:val="Voettekst"/>
    </w:pPr>
    <w:r>
      <w:rPr>
        <w:noProof/>
      </w:rPr>
      <w:drawing>
        <wp:anchor distT="0" distB="0" distL="114300" distR="114300" simplePos="0" relativeHeight="251658240" behindDoc="1" locked="0" layoutInCell="1" allowOverlap="1" wp14:anchorId="1AEFCEF0" wp14:editId="7CE293D7">
          <wp:simplePos x="0" y="0"/>
          <wp:positionH relativeFrom="column">
            <wp:posOffset>-13335</wp:posOffset>
          </wp:positionH>
          <wp:positionV relativeFrom="paragraph">
            <wp:posOffset>108585</wp:posOffset>
          </wp:positionV>
          <wp:extent cx="1486535" cy="242570"/>
          <wp:effectExtent l="0" t="0" r="12065" b="11430"/>
          <wp:wrapNone/>
          <wp:docPr id="1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INOX__nobaseline_P151C.eps"/>
                  <pic:cNvPicPr/>
                </pic:nvPicPr>
                <pic:blipFill>
                  <a:blip r:embed="rId1">
                    <a:extLst>
                      <a:ext uri="{28A0092B-C50C-407E-A947-70E740481C1C}">
                        <a14:useLocalDpi xmlns:a14="http://schemas.microsoft.com/office/drawing/2010/main" val="0"/>
                      </a:ext>
                    </a:extLst>
                  </a:blip>
                  <a:stretch>
                    <a:fillRect/>
                  </a:stretch>
                </pic:blipFill>
                <pic:spPr>
                  <a:xfrm>
                    <a:off x="0" y="0"/>
                    <a:ext cx="1486535" cy="2425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B4EAA53" wp14:editId="33E8F883">
          <wp:simplePos x="0" y="0"/>
          <wp:positionH relativeFrom="column">
            <wp:posOffset>3078480</wp:posOffset>
          </wp:positionH>
          <wp:positionV relativeFrom="paragraph">
            <wp:posOffset>-6985</wp:posOffset>
          </wp:positionV>
          <wp:extent cx="3200400" cy="571500"/>
          <wp:effectExtent l="0" t="0" r="0" b="12700"/>
          <wp:wrapNone/>
          <wp:docPr id="4" name="Tekstvak 4"/>
          <wp:cNvGraphicFramePr/>
          <a:graphic xmlns:a="http://schemas.openxmlformats.org/drawingml/2006/main">
            <a:graphicData uri="http://schemas.microsoft.com/office/word/2010/wordprocessingShape">
              <wps:wsp>
                <wps:cNvSpPr txBox="1"/>
                <wps:spPr>
                  <a:xfrm>
                    <a:off x="0" y="0"/>
                    <a:ext cx="320040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D2567C" w14:textId="77777777" w:rsidR="000B0453" w:rsidRDefault="00593A5A">
                      <w:pPr>
                        <w:pStyle w:val="Pa0"/>
                        <w:jc w:val="right"/>
                        <w:rPr>
                          <w:rFonts w:ascii="Futura Std Book" w:hAnsi="Futura Std Book" w:cs="Futura Std Book"/>
                          <w:color w:val="262626" w:themeColor="text1" w:themeTint="D9"/>
                          <w:sz w:val="20"/>
                        </w:rPr>
                      </w:pPr>
                      <w:r>
                        <w:rPr>
                          <w:rStyle w:val="A1"/>
                          <w:color w:val="262626" w:themeColor="text1" w:themeTint="D9"/>
                        </w:rPr>
                        <w:t>Brabantstraat 107, 8790 Waregem - Belgium</w:t>
                      </w:r>
                    </w:p>
                    <w:p w14:paraId="514CCB9B" w14:textId="77777777" w:rsidR="000B0453" w:rsidRDefault="00593A5A">
                      <w:pPr>
                        <w:jc w:val="right"/>
                        <w:rPr>
                          <w:color w:val="EB8215"/>
                        </w:rPr>
                      </w:pPr>
                      <w:r>
                        <w:rPr>
                          <w:rStyle w:val="A1"/>
                          <w:color w:val="262626" w:themeColor="text1" w:themeTint="D9"/>
                        </w:rPr>
                        <w:t>Tel. +32(0)56 77 27 66, Fax. +32(0)56 77 69 26, info@locinox.com,</w:t>
                      </w:r>
                      <w:r>
                        <w:rPr>
                          <w:rStyle w:val="A1"/>
                          <w:b/>
                          <w:color w:val="FF5000"/>
                        </w:rPr>
                        <w:t>www.locinox.com</w:t>
                      </w:r>
                    </w:p>
                    <w:p w14:paraId="698664CC" w14:textId="61A72F66" w:rsidR="000B0453" w:rsidRDefault="000B0453">
                      <w:pPr>
                        <w:jc w:val="right"/>
                        <w:rPr>
                          <w:rFonts w:cstheme="minorHAnsi"/>
                          <w:color w:val="EB82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w:r>
    <w:r>
      <w:rPr>
        <w:rFonts w:ascii="Futura Std Book" w:hAnsi="Futura Std Book" w:cs="Futura Std Medium"/>
        <w:noProof/>
        <w:color w:val="E7E6E6" w:themeColor="background2"/>
        <w:sz w:val="40"/>
      </w:rPr>
      <w:drawing>
        <wp:anchor distT="0" distB="0" distL="114300" distR="114300" simplePos="0" relativeHeight="251661312" behindDoc="0" locked="0" layoutInCell="1" allowOverlap="1" wp14:anchorId="27F32F0D" wp14:editId="3760CC62">
          <wp:simplePos x="0" y="0"/>
          <wp:positionH relativeFrom="column">
            <wp:posOffset>0</wp:posOffset>
          </wp:positionH>
          <wp:positionV relativeFrom="paragraph">
            <wp:posOffset>-104140</wp:posOffset>
          </wp:positionV>
          <wp:extent cx="6210935" cy="2540"/>
          <wp:effectExtent l="0" t="0" r="37465" b="48260"/>
          <wp:wrapNone/>
          <wp:docPr id="11" name="Rechte verbindingslijn 11"/>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F2EF" w14:textId="77777777" w:rsidR="000B0453" w:rsidRDefault="00593A5A">
      <w:pPr>
        <w:spacing w:after="0" w:line="240" w:lineRule="auto"/>
      </w:pPr>
      <w:r>
        <w:separator/>
      </w:r>
    </w:p>
  </w:footnote>
  <w:footnote w:type="continuationSeparator" w:id="0">
    <w:p w14:paraId="1B206A97" w14:textId="77777777" w:rsidR="000B0453" w:rsidRDefault="00593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29AE" w14:textId="5FA92D74" w:rsidR="000B0453" w:rsidRDefault="00593A5A">
    <w:pPr>
      <w:spacing w:after="100" w:afterAutospacing="1"/>
      <w:jc w:val="right"/>
      <w:rPr>
        <w:rFonts w:cstheme="minorHAnsi"/>
        <w:color w:val="AEAAAA" w:themeColor="background2" w:themeShade="BF"/>
        <w:sz w:val="24"/>
      </w:rPr>
    </w:pPr>
    <w:r>
      <w:rPr>
        <w:rFonts w:cstheme="minorHAnsi"/>
        <w:color w:val="AEAAAA" w:themeColor="background2" w:themeShade="BF"/>
        <w:sz w:val="24"/>
      </w:rPr>
      <w:t>SPECIFICATION TEXTS</w:t>
    </w:r>
  </w:p>
  <w:p w14:paraId="7C6D4EDF" w14:textId="77777777" w:rsidR="000B0453" w:rsidRDefault="000B04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D70"/>
    <w:multiLevelType w:val="hybridMultilevel"/>
    <w:tmpl w:val="0874947C"/>
    <w:lvl w:ilvl="0" w:tplc="A4A60DA0">
      <w:numFmt w:val="bullet"/>
      <w:lvlText w:val=""/>
      <w:lvlJc w:val="left"/>
      <w:pPr>
        <w:ind w:left="720" w:hanging="360"/>
      </w:pPr>
      <w:rPr>
        <w:rFonts w:ascii="Wingdings 3" w:eastAsiaTheme="minorHAnsi" w:hAnsi="Wingdings 3" w:cs="Futura Std Book"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97B0BBD"/>
    <w:multiLevelType w:val="hybridMultilevel"/>
    <w:tmpl w:val="0A00253E"/>
    <w:lvl w:ilvl="0" w:tplc="164A75F6">
      <w:numFmt w:val="bullet"/>
      <w:pStyle w:val="Bullets"/>
      <w:lvlText w:val=""/>
      <w:lvlJc w:val="left"/>
      <w:pPr>
        <w:ind w:left="720" w:hanging="360"/>
      </w:pPr>
      <w:rPr>
        <w:rFonts w:ascii="Wingdings 3" w:hAnsi="Wingdings 3" w:cs="Futura Std Book" w:hint="default"/>
        <w:color w:val="FF500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22A7F7E"/>
    <w:multiLevelType w:val="multilevel"/>
    <w:tmpl w:val="9F1A4FF4"/>
    <w:lvl w:ilvl="0">
      <w:numFmt w:val="bullet"/>
      <w:lvlText w:val=""/>
      <w:lvlJc w:val="left"/>
      <w:pPr>
        <w:ind w:left="720" w:hanging="360"/>
      </w:pPr>
      <w:rPr>
        <w:rFonts w:ascii="Wingdings 3" w:hAnsi="Wingdings 3" w:cs="Futura Std Book" w:hint="default"/>
        <w:color w:val="EB821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C3E21E1"/>
    <w:multiLevelType w:val="hybridMultilevel"/>
    <w:tmpl w:val="E0329078"/>
    <w:lvl w:ilvl="0" w:tplc="47F4D152">
      <w:numFmt w:val="bullet"/>
      <w:lvlText w:val=""/>
      <w:lvlJc w:val="left"/>
      <w:pPr>
        <w:ind w:left="720" w:hanging="360"/>
      </w:pPr>
      <w:rPr>
        <w:rFonts w:ascii="Symbol" w:eastAsiaTheme="minorHAnsi" w:hAnsi="Symbol" w:cs="Futura Std Book"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07344466">
    <w:abstractNumId w:val="3"/>
  </w:num>
  <w:num w:numId="2" w16cid:durableId="2024163671">
    <w:abstractNumId w:val="0"/>
  </w:num>
  <w:num w:numId="3" w16cid:durableId="209002393">
    <w:abstractNumId w:val="1"/>
  </w:num>
  <w:num w:numId="4" w16cid:durableId="95171663">
    <w:abstractNumId w:val="2"/>
  </w:num>
  <w:num w:numId="5" w16cid:durableId="949356970">
    <w:abstractNumId w:val="1"/>
  </w:num>
  <w:num w:numId="6" w16cid:durableId="2015257502">
    <w:abstractNumId w:val="1"/>
  </w:num>
  <w:num w:numId="7" w16cid:durableId="167713910">
    <w:abstractNumId w:val="1"/>
  </w:num>
  <w:num w:numId="8" w16cid:durableId="1322739449">
    <w:abstractNumId w:val="1"/>
  </w:num>
  <w:num w:numId="9" w16cid:durableId="4615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71"/>
    <w:rsid w:val="00001FC4"/>
    <w:rsid w:val="00030E90"/>
    <w:rsid w:val="00084143"/>
    <w:rsid w:val="000A4F89"/>
    <w:rsid w:val="000B0453"/>
    <w:rsid w:val="000C0F4D"/>
    <w:rsid w:val="000D0DA3"/>
    <w:rsid w:val="000D2767"/>
    <w:rsid w:val="00140941"/>
    <w:rsid w:val="00146E66"/>
    <w:rsid w:val="0017508D"/>
    <w:rsid w:val="00191D92"/>
    <w:rsid w:val="00196228"/>
    <w:rsid w:val="001F2F88"/>
    <w:rsid w:val="00205663"/>
    <w:rsid w:val="00206C52"/>
    <w:rsid w:val="00246764"/>
    <w:rsid w:val="00247021"/>
    <w:rsid w:val="00282192"/>
    <w:rsid w:val="002E0F9D"/>
    <w:rsid w:val="002E3623"/>
    <w:rsid w:val="00301616"/>
    <w:rsid w:val="00305F3D"/>
    <w:rsid w:val="00326E03"/>
    <w:rsid w:val="00332256"/>
    <w:rsid w:val="00373755"/>
    <w:rsid w:val="00385B5B"/>
    <w:rsid w:val="003A1927"/>
    <w:rsid w:val="003D0F47"/>
    <w:rsid w:val="003E10D2"/>
    <w:rsid w:val="0042709D"/>
    <w:rsid w:val="0045305B"/>
    <w:rsid w:val="00453506"/>
    <w:rsid w:val="004B3EDE"/>
    <w:rsid w:val="004C60CF"/>
    <w:rsid w:val="004C7EF3"/>
    <w:rsid w:val="00513982"/>
    <w:rsid w:val="0053197B"/>
    <w:rsid w:val="005347CA"/>
    <w:rsid w:val="00544255"/>
    <w:rsid w:val="00547A59"/>
    <w:rsid w:val="00555923"/>
    <w:rsid w:val="0055711E"/>
    <w:rsid w:val="00562A3A"/>
    <w:rsid w:val="00593A5A"/>
    <w:rsid w:val="005953D0"/>
    <w:rsid w:val="005C6954"/>
    <w:rsid w:val="0065206E"/>
    <w:rsid w:val="00655ED9"/>
    <w:rsid w:val="00666BAC"/>
    <w:rsid w:val="006671F1"/>
    <w:rsid w:val="006876F7"/>
    <w:rsid w:val="006A2C28"/>
    <w:rsid w:val="006C1E6F"/>
    <w:rsid w:val="0070655D"/>
    <w:rsid w:val="00732355"/>
    <w:rsid w:val="00737877"/>
    <w:rsid w:val="00751519"/>
    <w:rsid w:val="00784971"/>
    <w:rsid w:val="007D7949"/>
    <w:rsid w:val="007E2F52"/>
    <w:rsid w:val="007E43F1"/>
    <w:rsid w:val="007F7140"/>
    <w:rsid w:val="00826FF6"/>
    <w:rsid w:val="008307BD"/>
    <w:rsid w:val="008369D0"/>
    <w:rsid w:val="008516D9"/>
    <w:rsid w:val="008571B5"/>
    <w:rsid w:val="008D1637"/>
    <w:rsid w:val="0091308C"/>
    <w:rsid w:val="00915CB2"/>
    <w:rsid w:val="00922DAF"/>
    <w:rsid w:val="0095434C"/>
    <w:rsid w:val="009625DF"/>
    <w:rsid w:val="00985EA5"/>
    <w:rsid w:val="009A0189"/>
    <w:rsid w:val="009A16AB"/>
    <w:rsid w:val="009C336F"/>
    <w:rsid w:val="00A00926"/>
    <w:rsid w:val="00A02D22"/>
    <w:rsid w:val="00A040D4"/>
    <w:rsid w:val="00A21863"/>
    <w:rsid w:val="00A43F3B"/>
    <w:rsid w:val="00A64315"/>
    <w:rsid w:val="00A900A0"/>
    <w:rsid w:val="00AB7B74"/>
    <w:rsid w:val="00AD24E8"/>
    <w:rsid w:val="00AD5D74"/>
    <w:rsid w:val="00B2089F"/>
    <w:rsid w:val="00B23E48"/>
    <w:rsid w:val="00B50DB5"/>
    <w:rsid w:val="00B52EDA"/>
    <w:rsid w:val="00B55A36"/>
    <w:rsid w:val="00B55A9E"/>
    <w:rsid w:val="00B8074A"/>
    <w:rsid w:val="00BE1B8B"/>
    <w:rsid w:val="00BE5D71"/>
    <w:rsid w:val="00C21D34"/>
    <w:rsid w:val="00C82C12"/>
    <w:rsid w:val="00CA2BED"/>
    <w:rsid w:val="00CB5C47"/>
    <w:rsid w:val="00CC0DCA"/>
    <w:rsid w:val="00CD230B"/>
    <w:rsid w:val="00CD3D87"/>
    <w:rsid w:val="00CE31CE"/>
    <w:rsid w:val="00D31737"/>
    <w:rsid w:val="00D42B56"/>
    <w:rsid w:val="00D455F4"/>
    <w:rsid w:val="00D470E2"/>
    <w:rsid w:val="00D53528"/>
    <w:rsid w:val="00D57873"/>
    <w:rsid w:val="00D82671"/>
    <w:rsid w:val="00D84DBA"/>
    <w:rsid w:val="00D96E6B"/>
    <w:rsid w:val="00DB161D"/>
    <w:rsid w:val="00DB6EA4"/>
    <w:rsid w:val="00DE0048"/>
    <w:rsid w:val="00E024CF"/>
    <w:rsid w:val="00E10401"/>
    <w:rsid w:val="00E12D30"/>
    <w:rsid w:val="00E36FD0"/>
    <w:rsid w:val="00E467D8"/>
    <w:rsid w:val="00E6092E"/>
    <w:rsid w:val="00E94377"/>
    <w:rsid w:val="00EC009D"/>
    <w:rsid w:val="00EE42DC"/>
    <w:rsid w:val="00EF2AB3"/>
    <w:rsid w:val="00EF6090"/>
    <w:rsid w:val="00F05A05"/>
    <w:rsid w:val="00F266A4"/>
    <w:rsid w:val="00F3557E"/>
    <w:rsid w:val="00F46D31"/>
    <w:rsid w:val="00F57826"/>
    <w:rsid w:val="00F667B3"/>
    <w:rsid w:val="00F67902"/>
    <w:rsid w:val="00F71C05"/>
    <w:rsid w:val="00F772CD"/>
    <w:rsid w:val="00FD2583"/>
    <w:rsid w:val="00FF5F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2A275"/>
  <w15:chartTrackingRefBased/>
  <w15:docId w15:val="{09D49420-390E-41D6-82A2-9C03D8C9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8571B5"/>
    <w:pPr>
      <w:spacing w:after="160" w:line="259" w:lineRule="auto"/>
    </w:pPr>
    <w:rPr>
      <w:sz w:val="22"/>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5711E"/>
    <w:pPr>
      <w:tabs>
        <w:tab w:val="center" w:pos="4536"/>
        <w:tab w:val="right" w:pos="9072"/>
      </w:tabs>
    </w:pPr>
  </w:style>
  <w:style w:type="character" w:customStyle="1" w:styleId="KoptekstChar">
    <w:name w:val="Koptekst Char"/>
    <w:basedOn w:val="Standaardalinea-lettertype"/>
    <w:link w:val="Koptekst"/>
    <w:uiPriority w:val="99"/>
    <w:rsid w:val="0055711E"/>
  </w:style>
  <w:style w:type="paragraph" w:styleId="Voettekst">
    <w:name w:val="footer"/>
    <w:basedOn w:val="Standaard"/>
    <w:link w:val="VoettekstChar"/>
    <w:uiPriority w:val="99"/>
    <w:unhideWhenUsed/>
    <w:rsid w:val="0055711E"/>
    <w:pPr>
      <w:tabs>
        <w:tab w:val="center" w:pos="4536"/>
        <w:tab w:val="right" w:pos="9072"/>
      </w:tabs>
    </w:pPr>
  </w:style>
  <w:style w:type="character" w:customStyle="1" w:styleId="VoettekstChar">
    <w:name w:val="Voettekst Char"/>
    <w:basedOn w:val="Standaardalinea-lettertype"/>
    <w:link w:val="Voettekst"/>
    <w:uiPriority w:val="99"/>
    <w:rsid w:val="0055711E"/>
  </w:style>
  <w:style w:type="paragraph" w:customStyle="1" w:styleId="Pa0">
    <w:name w:val="Pa0"/>
    <w:basedOn w:val="Standaard"/>
    <w:next w:val="Standaard"/>
    <w:uiPriority w:val="99"/>
    <w:rsid w:val="008571B5"/>
    <w:pPr>
      <w:autoSpaceDE w:val="0"/>
      <w:autoSpaceDN w:val="0"/>
      <w:adjustRightInd w:val="0"/>
      <w:spacing w:after="0" w:line="241" w:lineRule="atLeast"/>
    </w:pPr>
    <w:rPr>
      <w:rFonts w:ascii="Futura Std Medium" w:hAnsi="Futura Std Medium"/>
      <w:sz w:val="24"/>
      <w:szCs w:val="24"/>
    </w:rPr>
  </w:style>
  <w:style w:type="character" w:customStyle="1" w:styleId="A1">
    <w:name w:val="A1"/>
    <w:uiPriority w:val="99"/>
    <w:rsid w:val="008571B5"/>
    <w:rPr>
      <w:rFonts w:ascii="Futura Std Book" w:hAnsi="Futura Std Book" w:cs="Futura Std Book"/>
      <w:color w:val="000000"/>
      <w:sz w:val="20"/>
      <w:szCs w:val="20"/>
    </w:rPr>
  </w:style>
  <w:style w:type="paragraph" w:customStyle="1" w:styleId="Pa1">
    <w:name w:val="Pa1"/>
    <w:basedOn w:val="Standaard"/>
    <w:next w:val="Standaard"/>
    <w:uiPriority w:val="99"/>
    <w:rsid w:val="007F7140"/>
    <w:pPr>
      <w:autoSpaceDE w:val="0"/>
      <w:autoSpaceDN w:val="0"/>
      <w:adjustRightInd w:val="0"/>
      <w:spacing w:after="0" w:line="241" w:lineRule="atLeast"/>
    </w:pPr>
    <w:rPr>
      <w:rFonts w:ascii="Futura Std Medium" w:hAnsi="Futura Std Medium"/>
      <w:sz w:val="24"/>
      <w:szCs w:val="24"/>
    </w:rPr>
  </w:style>
  <w:style w:type="paragraph" w:customStyle="1" w:styleId="Default">
    <w:name w:val="Default"/>
    <w:rsid w:val="007F7140"/>
    <w:pPr>
      <w:autoSpaceDE w:val="0"/>
      <w:autoSpaceDN w:val="0"/>
      <w:adjustRightInd w:val="0"/>
    </w:pPr>
    <w:rPr>
      <w:rFonts w:ascii="Futura Std Medium" w:hAnsi="Futura Std Medium" w:cs="Futura Std Medium"/>
      <w:color w:val="000000"/>
      <w:lang w:val="nl-BE"/>
    </w:rPr>
  </w:style>
  <w:style w:type="paragraph" w:customStyle="1" w:styleId="Subtitel">
    <w:name w:val="Subtitel"/>
    <w:basedOn w:val="Pa1"/>
    <w:qFormat/>
    <w:rsid w:val="00332256"/>
    <w:pPr>
      <w:spacing w:before="240" w:after="120"/>
    </w:pPr>
    <w:rPr>
      <w:rFonts w:ascii="Futura Std Book" w:hAnsi="Futura Std Book" w:cs="Futura Std Medium"/>
      <w:b/>
      <w:bCs/>
      <w:color w:val="EB8215"/>
      <w:sz w:val="20"/>
      <w:szCs w:val="20"/>
      <w:lang w:val="en-GB"/>
    </w:rPr>
  </w:style>
  <w:style w:type="paragraph" w:customStyle="1" w:styleId="Bullets">
    <w:name w:val="Bullets"/>
    <w:basedOn w:val="Default"/>
    <w:qFormat/>
    <w:rsid w:val="00332256"/>
    <w:pPr>
      <w:numPr>
        <w:numId w:val="3"/>
      </w:numPr>
      <w:spacing w:after="24"/>
    </w:pPr>
    <w:rPr>
      <w:rFonts w:ascii="Futura Std Book" w:hAnsi="Futura Std Book" w:cs="Futura Std Book"/>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2643</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Hofman</dc:creator>
  <cp:keywords/>
  <dc:description/>
  <cp:lastModifiedBy>Xavier De Naeyer</cp:lastModifiedBy>
  <cp:revision>10</cp:revision>
  <cp:lastPrinted>2024-01-15T13:10:00Z</cp:lastPrinted>
  <dcterms:created xsi:type="dcterms:W3CDTF">2024-02-08T07:18:00Z</dcterms:created>
  <dcterms:modified xsi:type="dcterms:W3CDTF">2025-07-31T07:20:00Z</dcterms:modified>
</cp:coreProperties>
</file>